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480" w:lineRule="auto"/>
        <w:outlineLvl w:val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Table S2. Frequency of mutation on site 68 of reverse transcriptase between different subtypes in K65R mutants</w:t>
      </w:r>
    </w:p>
    <w:tbl>
      <w:tblPr>
        <w:tblStyle w:val="7"/>
        <w:tblpPr w:leftFromText="180" w:rightFromText="180" w:vertAnchor="page" w:horzAnchor="page" w:tblpX="419" w:tblpY="2948"/>
        <w:tblOverlap w:val="never"/>
        <w:tblW w:w="11340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60"/>
        <w:gridCol w:w="850"/>
        <w:gridCol w:w="1134"/>
        <w:gridCol w:w="1134"/>
        <w:gridCol w:w="1190"/>
        <w:gridCol w:w="795"/>
        <w:gridCol w:w="1842"/>
        <w:gridCol w:w="1134"/>
        <w:gridCol w:w="1701"/>
      </w:tblGrid>
      <w:tr>
        <w:tblPrEx>
          <w:tblLayout w:type="fixed"/>
        </w:tblPrEx>
        <w:trPr>
          <w:trHeight w:val="442" w:hRule="atLeast"/>
        </w:trPr>
        <w:tc>
          <w:tcPr>
            <w:tcW w:w="1560" w:type="dxa"/>
            <w:vMerge w:val="restart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Mutation</w:t>
            </w:r>
          </w:p>
        </w:tc>
        <w:tc>
          <w:tcPr>
            <w:tcW w:w="9780" w:type="dxa"/>
            <w:gridSpan w:val="8"/>
            <w:tcBorders>
              <w:top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Subtype (%)</w:t>
            </w:r>
          </w:p>
        </w:tc>
      </w:tr>
      <w:tr>
        <w:tblPrEx>
          <w:tblLayout w:type="fixed"/>
        </w:tblPrEx>
        <w:trPr>
          <w:trHeight w:val="887" w:hRule="atLeast"/>
        </w:trPr>
        <w:tc>
          <w:tcPr>
            <w:tcW w:w="1560" w:type="dxa"/>
            <w:vMerge w:val="continue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A</w:t>
            </w: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br w:type="textWrapping"/>
            </w: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(n = 214)</w:t>
            </w:r>
          </w:p>
        </w:tc>
        <w:tc>
          <w:tcPr>
            <w:tcW w:w="1134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B</w:t>
            </w: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br w:type="textWrapping"/>
            </w: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(n = 748)</w:t>
            </w:r>
          </w:p>
        </w:tc>
        <w:tc>
          <w:tcPr>
            <w:tcW w:w="1134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C</w:t>
            </w: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br w:type="textWrapping"/>
            </w: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(n = 1345)</w:t>
            </w:r>
          </w:p>
        </w:tc>
        <w:tc>
          <w:tcPr>
            <w:tcW w:w="1190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D</w:t>
            </w: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br w:type="textWrapping"/>
            </w: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(n = 55)</w:t>
            </w:r>
          </w:p>
        </w:tc>
        <w:tc>
          <w:tcPr>
            <w:tcW w:w="795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F</w:t>
            </w: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br w:type="textWrapping"/>
            </w: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(n = 19)</w:t>
            </w:r>
          </w:p>
        </w:tc>
        <w:tc>
          <w:tcPr>
            <w:tcW w:w="1842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br w:type="textWrapping"/>
            </w: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(n = 147)</w:t>
            </w:r>
          </w:p>
        </w:tc>
        <w:tc>
          <w:tcPr>
            <w:tcW w:w="1134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CRF01_AE</w:t>
            </w: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br w:type="textWrapping"/>
            </w: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(n = 230)</w:t>
            </w:r>
          </w:p>
        </w:tc>
        <w:tc>
          <w:tcPr>
            <w:tcW w:w="1701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CRF02_</w:t>
            </w:r>
            <w:bookmarkStart w:id="0" w:name="_GoBack"/>
            <w:bookmarkEnd w:id="0"/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AG</w:t>
            </w: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br w:type="textWrapping"/>
            </w: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(n = 171)</w:t>
            </w:r>
          </w:p>
        </w:tc>
      </w:tr>
      <w:tr>
        <w:tblPrEx>
          <w:tblLayout w:type="fixed"/>
        </w:tblPrEx>
        <w:trPr>
          <w:trHeight w:val="493" w:hRule="atLeast"/>
        </w:trPr>
        <w:tc>
          <w:tcPr>
            <w:tcW w:w="156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G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41.6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38.9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27.9</w:t>
            </w:r>
          </w:p>
        </w:tc>
        <w:tc>
          <w:tcPr>
            <w:tcW w:w="119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27.3</w:t>
            </w:r>
          </w:p>
        </w:tc>
        <w:tc>
          <w:tcPr>
            <w:tcW w:w="79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21.1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29.3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61.7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43.3</w:t>
            </w:r>
          </w:p>
        </w:tc>
      </w:tr>
      <w:tr>
        <w:tblPrEx>
          <w:tblLayout w:type="fixed"/>
        </w:tblPrEx>
        <w:trPr>
          <w:trHeight w:val="422" w:hRule="atLeast"/>
        </w:trPr>
        <w:tc>
          <w:tcPr>
            <w:tcW w:w="156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N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3.7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7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19.4</w:t>
            </w:r>
          </w:p>
        </w:tc>
        <w:tc>
          <w:tcPr>
            <w:tcW w:w="119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18.2</w:t>
            </w:r>
          </w:p>
        </w:tc>
        <w:tc>
          <w:tcPr>
            <w:tcW w:w="79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15.8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6.8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6.1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3.5</w:t>
            </w:r>
          </w:p>
        </w:tc>
      </w:tr>
      <w:tr>
        <w:tblPrEx>
          <w:tblLayout w:type="fixed"/>
        </w:tblPrEx>
        <w:trPr>
          <w:trHeight w:val="422" w:hRule="atLeast"/>
        </w:trPr>
        <w:tc>
          <w:tcPr>
            <w:tcW w:w="156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D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1.4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3.2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2.8</w:t>
            </w:r>
          </w:p>
        </w:tc>
        <w:tc>
          <w:tcPr>
            <w:tcW w:w="119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1.8</w:t>
            </w:r>
          </w:p>
        </w:tc>
        <w:tc>
          <w:tcPr>
            <w:tcW w:w="79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–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–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2.2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1.2</w:t>
            </w:r>
          </w:p>
        </w:tc>
      </w:tr>
      <w:tr>
        <w:tblPrEx>
          <w:tblLayout w:type="fixed"/>
        </w:tblPrEx>
        <w:trPr>
          <w:trHeight w:val="422" w:hRule="atLeast"/>
        </w:trPr>
        <w:tc>
          <w:tcPr>
            <w:tcW w:w="156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K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1.9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2.8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2.4</w:t>
            </w:r>
          </w:p>
        </w:tc>
        <w:tc>
          <w:tcPr>
            <w:tcW w:w="119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3.6</w:t>
            </w:r>
          </w:p>
        </w:tc>
        <w:tc>
          <w:tcPr>
            <w:tcW w:w="79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–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1.4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1.3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1.8</w:t>
            </w:r>
          </w:p>
        </w:tc>
      </w:tr>
      <w:tr>
        <w:tblPrEx>
          <w:tblLayout w:type="fixed"/>
        </w:tblPrEx>
        <w:trPr>
          <w:trHeight w:val="422" w:hRule="atLeast"/>
        </w:trPr>
        <w:tc>
          <w:tcPr>
            <w:tcW w:w="1560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R</w:t>
            </w:r>
          </w:p>
        </w:tc>
        <w:tc>
          <w:tcPr>
            <w:tcW w:w="850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0.5</w:t>
            </w:r>
          </w:p>
        </w:tc>
        <w:tc>
          <w:tcPr>
            <w:tcW w:w="1134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2.7</w:t>
            </w:r>
          </w:p>
        </w:tc>
        <w:tc>
          <w:tcPr>
            <w:tcW w:w="1134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0.8</w:t>
            </w:r>
          </w:p>
        </w:tc>
        <w:tc>
          <w:tcPr>
            <w:tcW w:w="1190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1.8</w:t>
            </w:r>
          </w:p>
        </w:tc>
        <w:tc>
          <w:tcPr>
            <w:tcW w:w="795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–</w:t>
            </w:r>
          </w:p>
        </w:tc>
        <w:tc>
          <w:tcPr>
            <w:tcW w:w="1842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2.0</w:t>
            </w:r>
          </w:p>
        </w:tc>
        <w:tc>
          <w:tcPr>
            <w:tcW w:w="1134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0.9</w:t>
            </w:r>
          </w:p>
        </w:tc>
        <w:tc>
          <w:tcPr>
            <w:tcW w:w="1701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0.6</w:t>
            </w:r>
          </w:p>
        </w:tc>
      </w:tr>
      <w:tr>
        <w:tblPrEx>
          <w:tblLayout w:type="fixed"/>
        </w:tblPrEx>
        <w:trPr>
          <w:trHeight w:val="623" w:hRule="atLeast"/>
        </w:trPr>
        <w:tc>
          <w:tcPr>
            <w:tcW w:w="1560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Total</w:t>
            </w:r>
          </w:p>
        </w:tc>
        <w:tc>
          <w:tcPr>
            <w:tcW w:w="850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49.1</w:t>
            </w:r>
          </w:p>
        </w:tc>
        <w:tc>
          <w:tcPr>
            <w:tcW w:w="1134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54.6</w:t>
            </w:r>
          </w:p>
        </w:tc>
        <w:tc>
          <w:tcPr>
            <w:tcW w:w="1134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53.3</w:t>
            </w:r>
          </w:p>
        </w:tc>
        <w:tc>
          <w:tcPr>
            <w:tcW w:w="1190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52.7</w:t>
            </w:r>
          </w:p>
        </w:tc>
        <w:tc>
          <w:tcPr>
            <w:tcW w:w="795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36.9</w:t>
            </w:r>
          </w:p>
        </w:tc>
        <w:tc>
          <w:tcPr>
            <w:tcW w:w="1842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39.5</w:t>
            </w:r>
          </w:p>
        </w:tc>
        <w:tc>
          <w:tcPr>
            <w:tcW w:w="1134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72.2</w:t>
            </w:r>
          </w:p>
        </w:tc>
        <w:tc>
          <w:tcPr>
            <w:tcW w:w="1701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0"/>
              <w:rPr>
                <w:rFonts w:ascii="Times New Roman" w:hAnsi="Times New Roman" w:eastAsia="Arial Unicode MS" w:cs="Times New Roman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sz w:val="20"/>
                <w:szCs w:val="20"/>
              </w:rPr>
              <w:t>50.4</w:t>
            </w:r>
          </w:p>
        </w:tc>
      </w:tr>
    </w:tbl>
    <w:p>
      <w:pPr>
        <w:adjustRightInd w:val="0"/>
        <w:snapToGrid w:val="0"/>
        <w:spacing w:line="480" w:lineRule="auto"/>
        <w:outlineLvl w:val="0"/>
        <w:rPr>
          <w:rFonts w:ascii="Times New Roman" w:hAnsi="Times New Roman" w:cs="Times New Roman"/>
          <w:sz w:val="24"/>
        </w:rPr>
      </w:pPr>
    </w:p>
    <w:p>
      <w:pPr>
        <w:adjustRightInd w:val="0"/>
        <w:snapToGrid w:val="0"/>
        <w:spacing w:line="480" w:lineRule="auto"/>
        <w:outlineLvl w:val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n, number of isolates according to subtype and drug class exposure; G, glycine; N, asparagine; D, aspartic acid; K, lysine; R, arginine.</w:t>
      </w:r>
    </w:p>
    <w:p>
      <w:pPr>
        <w:adjustRightInd w:val="0"/>
        <w:snapToGrid w:val="0"/>
        <w:spacing w:line="480" w:lineRule="auto"/>
        <w:outlineLvl w:val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* All data derived from the Stanford University HIV Drug Resistance Database.</w:t>
      </w:r>
    </w:p>
    <w:p>
      <w:pPr>
        <w:adjustRightInd w:val="0"/>
        <w:snapToGrid w:val="0"/>
        <w:spacing w:line="480" w:lineRule="auto"/>
        <w:outlineLvl w:val="0"/>
        <w:rPr>
          <w:rFonts w:ascii="Times New Roman" w:hAnsi="Times New Roman" w:cs="Times New Roman"/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altName w:val="汉仪书宋二KW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Verdana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Segoe UI">
    <w:altName w:val="苹方-简"/>
    <w:panose1 w:val="020B0502040204020203"/>
    <w:charset w:val="00"/>
    <w:family w:val="swiss"/>
    <w:pitch w:val="default"/>
    <w:sig w:usb0="00000000" w:usb1="00000000" w:usb2="00000009" w:usb3="00000000" w:csb0="000001FF" w:csb1="00000000"/>
  </w:font>
  <w:font w:name="Arial Unicode MS">
    <w:panose1 w:val="020B0604020202020204"/>
    <w:charset w:val="80"/>
    <w:family w:val="swiss"/>
    <w:pitch w:val="default"/>
    <w:sig w:usb0="FFFFFFFF" w:usb1="E9FFFFFF" w:usb2="0000003F" w:usb3="00000000" w:csb0="603F01FF" w:csb1="FFFF0000"/>
  </w:font>
  <w:font w:name="Calibri Light">
    <w:altName w:val="Verdana"/>
    <w:panose1 w:val="020F0302020204030204"/>
    <w:charset w:val="00"/>
    <w:family w:val="swiss"/>
    <w:pitch w:val="default"/>
    <w:sig w:usb0="00000000" w:usb1="00000000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FE8F3EA9"/>
    <w:rsid w:val="00120B3D"/>
    <w:rsid w:val="00494BEF"/>
    <w:rsid w:val="008149C9"/>
    <w:rsid w:val="00963C13"/>
    <w:rsid w:val="00A15A73"/>
    <w:rsid w:val="00A53009"/>
    <w:rsid w:val="00C2108C"/>
    <w:rsid w:val="00F610BA"/>
    <w:rsid w:val="33BE0F34"/>
    <w:rsid w:val="7E7B43D1"/>
    <w:rsid w:val="F7FFE1CB"/>
    <w:rsid w:val="FB7C0A0D"/>
    <w:rsid w:val="FE8F3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59" w:lineRule="auto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7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uiPriority w:val="0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3">
    <w:name w:val="footer"/>
    <w:basedOn w:val="1"/>
    <w:link w:val="10"/>
    <w:uiPriority w:val="0"/>
    <w:pPr>
      <w:tabs>
        <w:tab w:val="center" w:pos="4513"/>
        <w:tab w:val="right" w:pos="9026"/>
      </w:tabs>
      <w:spacing w:after="0" w:line="240" w:lineRule="auto"/>
    </w:pPr>
  </w:style>
  <w:style w:type="paragraph" w:styleId="4">
    <w:name w:val="header"/>
    <w:basedOn w:val="1"/>
    <w:link w:val="9"/>
    <w:qFormat/>
    <w:uiPriority w:val="0"/>
    <w:pPr>
      <w:tabs>
        <w:tab w:val="center" w:pos="4513"/>
        <w:tab w:val="right" w:pos="9026"/>
      </w:tabs>
      <w:spacing w:after="0" w:line="240" w:lineRule="auto"/>
    </w:pPr>
  </w:style>
  <w:style w:type="paragraph" w:styleId="5">
    <w:name w:val="Normal (Web)"/>
    <w:basedOn w:val="1"/>
    <w:uiPriority w:val="0"/>
    <w:pPr>
      <w:spacing w:beforeAutospacing="1" w:after="0" w:afterAutospacing="1"/>
      <w:jc w:val="left"/>
    </w:pPr>
    <w:rPr>
      <w:rFonts w:cs="Times New Roman"/>
      <w:kern w:val="0"/>
      <w:sz w:val="24"/>
    </w:rPr>
  </w:style>
  <w:style w:type="character" w:customStyle="1" w:styleId="8">
    <w:name w:val="Balloon Text Char"/>
    <w:basedOn w:val="6"/>
    <w:link w:val="2"/>
    <w:qFormat/>
    <w:uiPriority w:val="0"/>
    <w:rPr>
      <w:rFonts w:ascii="Segoe UI" w:hAnsi="Segoe UI" w:cs="Segoe UI" w:eastAsiaTheme="minorEastAsia"/>
      <w:kern w:val="2"/>
      <w:sz w:val="18"/>
      <w:szCs w:val="18"/>
      <w:lang w:val="en-US" w:eastAsia="zh-CN"/>
    </w:rPr>
  </w:style>
  <w:style w:type="character" w:customStyle="1" w:styleId="9">
    <w:name w:val="Header Char"/>
    <w:basedOn w:val="6"/>
    <w:link w:val="4"/>
    <w:qFormat/>
    <w:uiPriority w:val="0"/>
    <w:rPr>
      <w:rFonts w:asciiTheme="minorHAnsi" w:hAnsiTheme="minorHAnsi" w:eastAsiaTheme="minorEastAsia" w:cstheme="minorBidi"/>
      <w:kern w:val="2"/>
      <w:sz w:val="21"/>
      <w:szCs w:val="24"/>
      <w:lang w:val="en-US" w:eastAsia="zh-CN"/>
    </w:rPr>
  </w:style>
  <w:style w:type="character" w:customStyle="1" w:styleId="10">
    <w:name w:val="Footer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21"/>
      <w:szCs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104</Words>
  <Characters>594</Characters>
  <Lines>4</Lines>
  <Paragraphs>1</Paragraphs>
  <ScaleCrop>false</ScaleCrop>
  <LinksUpToDate>false</LinksUpToDate>
  <CharactersWithSpaces>697</CharactersWithSpaces>
  <Application>WPS Office_1.1.0.1454_F1E327BC-269C-435d-A152-05C5408002CA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2019-08-20T13:52:00Z</dcterms:created>
  <dcterms:modified xsi:type="dcterms:W3CDTF">2020-01-28T13:20:44Z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2052-1.1.0.1454</vt:lpwstr>
  </property>
</Properties>
</file>